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B45C0" w14:textId="20F90E25" w:rsidR="002E3588" w:rsidRPr="002E3588" w:rsidRDefault="00EE5C3B" w:rsidP="002E3588">
      <w:pPr>
        <w:autoSpaceDE w:val="0"/>
        <w:jc w:val="center"/>
        <w:rPr>
          <w:rFonts w:ascii="Bookman Old Style" w:hAnsi="Bookman Old Style"/>
          <w:color w:val="7030A0"/>
          <w:sz w:val="28"/>
          <w:szCs w:val="28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Aldborough &amp; Thurgarton</w:t>
      </w:r>
      <w:r w:rsidR="002E3588" w:rsidRPr="002E3588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 xml:space="preserve"> Parish Council</w:t>
      </w:r>
    </w:p>
    <w:p w14:paraId="060A513B" w14:textId="54DAF2F7" w:rsidR="00FA6EC2" w:rsidRDefault="00FA6EC2" w:rsidP="00506BC5">
      <w:pPr>
        <w:jc w:val="center"/>
        <w:rPr>
          <w:rFonts w:ascii="Arial Rounded MT Bold" w:hAnsi="Arial Rounded MT Bold"/>
          <w:color w:val="00206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6EC2" w14:paraId="46A1A126" w14:textId="77777777" w:rsidTr="004C1C30">
        <w:tc>
          <w:tcPr>
            <w:tcW w:w="9016" w:type="dxa"/>
            <w:gridSpan w:val="3"/>
          </w:tcPr>
          <w:p w14:paraId="05BC64D0" w14:textId="77777777" w:rsidR="00FA6EC2" w:rsidRDefault="00FA6EC2" w:rsidP="004C1C30">
            <w:pPr>
              <w:jc w:val="center"/>
              <w:rPr>
                <w:b/>
              </w:rPr>
            </w:pPr>
          </w:p>
          <w:p w14:paraId="5A13FFE4" w14:textId="3ACEBF32" w:rsidR="00FA6EC2" w:rsidRDefault="00FA6EC2" w:rsidP="00FA6EC2">
            <w:pPr>
              <w:jc w:val="center"/>
              <w:rPr>
                <w:b/>
              </w:rPr>
            </w:pPr>
            <w:r>
              <w:rPr>
                <w:b/>
              </w:rPr>
              <w:t>Risk Assessment</w:t>
            </w:r>
            <w:r w:rsidR="00EE5C3B">
              <w:rPr>
                <w:b/>
              </w:rPr>
              <w:t xml:space="preserve"> for Parish Mainten</w:t>
            </w:r>
            <w:r w:rsidR="00742368">
              <w:rPr>
                <w:b/>
              </w:rPr>
              <w:t>an</w:t>
            </w:r>
            <w:r w:rsidR="00EE5C3B">
              <w:rPr>
                <w:b/>
              </w:rPr>
              <w:t>ce</w:t>
            </w:r>
          </w:p>
          <w:p w14:paraId="2FB179FD" w14:textId="5F6C555F" w:rsidR="00FA6EC2" w:rsidRDefault="00FA6EC2" w:rsidP="00FA6EC2">
            <w:pPr>
              <w:jc w:val="center"/>
              <w:rPr>
                <w:b/>
              </w:rPr>
            </w:pPr>
          </w:p>
        </w:tc>
      </w:tr>
      <w:tr w:rsidR="00FA6EC2" w:rsidRPr="00941806" w14:paraId="2F4BFA50" w14:textId="77777777" w:rsidTr="004C1C30">
        <w:tc>
          <w:tcPr>
            <w:tcW w:w="9016" w:type="dxa"/>
            <w:gridSpan w:val="3"/>
          </w:tcPr>
          <w:p w14:paraId="41AFF829" w14:textId="77777777" w:rsidR="00FA6EC2" w:rsidRDefault="00FA6EC2" w:rsidP="004C1C30">
            <w:pPr>
              <w:jc w:val="both"/>
            </w:pPr>
          </w:p>
          <w:p w14:paraId="4705277B" w14:textId="448818E8" w:rsidR="00FA6EC2" w:rsidRDefault="00FA6EC2" w:rsidP="004C1C30">
            <w:pPr>
              <w:jc w:val="both"/>
            </w:pPr>
            <w:r w:rsidRPr="000C3498">
              <w:t>The following risk management table</w:t>
            </w:r>
            <w:r>
              <w:t xml:space="preserve"> identifies as far as possible, the risks facing </w:t>
            </w:r>
            <w:r w:rsidR="00EE5C3B">
              <w:t xml:space="preserve">Aldborough &amp; Thurgarton </w:t>
            </w:r>
            <w:r>
              <w:t>Parish Council, assesses those risks, addresses the risks and will a</w:t>
            </w:r>
            <w:r w:rsidR="00EE5C3B">
              <w:t>pply for small maintenance works in the village carried out by persons who are retired and carrying out the work as a paid help/contractor within the parish</w:t>
            </w:r>
          </w:p>
          <w:p w14:paraId="2BC86237" w14:textId="77777777" w:rsidR="00FA6EC2" w:rsidRDefault="00FA6EC2" w:rsidP="004C1C30">
            <w:pPr>
              <w:jc w:val="both"/>
            </w:pPr>
          </w:p>
          <w:p w14:paraId="416CAB3A" w14:textId="77777777" w:rsidR="00FA6EC2" w:rsidRDefault="00FA6EC2" w:rsidP="004C1C30">
            <w:pPr>
              <w:jc w:val="both"/>
            </w:pPr>
            <w:r>
              <w:t>A simple risk assessment matrix is used to calculate likelihood and impact as recommended good practice in Governance &amp; Accountability 2016 published by the Joint Practitioners Group as follows:</w:t>
            </w:r>
          </w:p>
          <w:p w14:paraId="00F1A259" w14:textId="77777777" w:rsidR="00FA6EC2" w:rsidRDefault="00FA6EC2" w:rsidP="004C1C30">
            <w:pPr>
              <w:jc w:val="both"/>
            </w:pPr>
          </w:p>
          <w:tbl>
            <w:tblPr>
              <w:tblStyle w:val="TableGrid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1606"/>
              <w:gridCol w:w="2197"/>
              <w:gridCol w:w="2198"/>
              <w:gridCol w:w="1795"/>
            </w:tblGrid>
            <w:tr w:rsidR="00FA6EC2" w14:paraId="32F8416F" w14:textId="77777777" w:rsidTr="004C1C30">
              <w:tc>
                <w:tcPr>
                  <w:tcW w:w="1606" w:type="dxa"/>
                </w:tcPr>
                <w:p w14:paraId="50EDCE61" w14:textId="77777777" w:rsidR="00FA6EC2" w:rsidRDefault="00FA6EC2" w:rsidP="004C1C30">
                  <w:pPr>
                    <w:jc w:val="both"/>
                  </w:pPr>
                  <w:r>
                    <w:t>Highly Likely (3)</w:t>
                  </w:r>
                </w:p>
              </w:tc>
              <w:tc>
                <w:tcPr>
                  <w:tcW w:w="2197" w:type="dxa"/>
                </w:tcPr>
                <w:p w14:paraId="4E1332DC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(3)</w:t>
                  </w:r>
                </w:p>
              </w:tc>
              <w:tc>
                <w:tcPr>
                  <w:tcW w:w="2198" w:type="dxa"/>
                </w:tcPr>
                <w:p w14:paraId="5192FC23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  <w:tc>
                <w:tcPr>
                  <w:tcW w:w="1795" w:type="dxa"/>
                </w:tcPr>
                <w:p w14:paraId="0EDF98DE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red"/>
                    </w:rPr>
                    <w:t>High (9)</w:t>
                  </w:r>
                </w:p>
              </w:tc>
            </w:tr>
            <w:tr w:rsidR="00FA6EC2" w14:paraId="7A7E6204" w14:textId="77777777" w:rsidTr="004C1C30">
              <w:tc>
                <w:tcPr>
                  <w:tcW w:w="1606" w:type="dxa"/>
                </w:tcPr>
                <w:p w14:paraId="78F30F6B" w14:textId="77777777" w:rsidR="00FA6EC2" w:rsidRDefault="00FA6EC2" w:rsidP="004C1C30">
                  <w:pPr>
                    <w:jc w:val="both"/>
                  </w:pPr>
                  <w:r>
                    <w:t>Possible (2)</w:t>
                  </w:r>
                </w:p>
              </w:tc>
              <w:tc>
                <w:tcPr>
                  <w:tcW w:w="2197" w:type="dxa"/>
                </w:tcPr>
                <w:p w14:paraId="1FA382BF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green"/>
                    </w:rPr>
                    <w:t>Low(2)</w:t>
                  </w:r>
                </w:p>
              </w:tc>
              <w:tc>
                <w:tcPr>
                  <w:tcW w:w="2198" w:type="dxa"/>
                </w:tcPr>
                <w:p w14:paraId="5EDB8B10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(4)</w:t>
                  </w:r>
                </w:p>
              </w:tc>
              <w:tc>
                <w:tcPr>
                  <w:tcW w:w="1795" w:type="dxa"/>
                </w:tcPr>
                <w:p w14:paraId="2772CF10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</w:tr>
            <w:tr w:rsidR="00FA6EC2" w14:paraId="2C72B875" w14:textId="77777777" w:rsidTr="004C1C30">
              <w:tc>
                <w:tcPr>
                  <w:tcW w:w="1606" w:type="dxa"/>
                </w:tcPr>
                <w:p w14:paraId="5D831F0C" w14:textId="77777777" w:rsidR="00FA6EC2" w:rsidRDefault="00FA6EC2" w:rsidP="004C1C30">
                  <w:pPr>
                    <w:jc w:val="both"/>
                  </w:pPr>
                  <w:r>
                    <w:t>Unlikely (1)</w:t>
                  </w:r>
                </w:p>
              </w:tc>
              <w:tc>
                <w:tcPr>
                  <w:tcW w:w="2197" w:type="dxa"/>
                </w:tcPr>
                <w:p w14:paraId="0A4B0945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(1)</w:t>
                  </w:r>
                </w:p>
              </w:tc>
              <w:tc>
                <w:tcPr>
                  <w:tcW w:w="2198" w:type="dxa"/>
                </w:tcPr>
                <w:p w14:paraId="7BAF63D8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(2)</w:t>
                  </w:r>
                </w:p>
              </w:tc>
              <w:tc>
                <w:tcPr>
                  <w:tcW w:w="1795" w:type="dxa"/>
                </w:tcPr>
                <w:p w14:paraId="12965620" w14:textId="77777777" w:rsidR="00FA6EC2" w:rsidRDefault="00FA6EC2" w:rsidP="004C1C30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Medium(3)</w:t>
                  </w:r>
                  <w:r>
                    <w:t xml:space="preserve"> </w:t>
                  </w:r>
                </w:p>
              </w:tc>
            </w:tr>
            <w:tr w:rsidR="00FA6EC2" w14:paraId="5F5BE9E0" w14:textId="77777777" w:rsidTr="004C1C30">
              <w:tc>
                <w:tcPr>
                  <w:tcW w:w="1606" w:type="dxa"/>
                </w:tcPr>
                <w:p w14:paraId="481B2823" w14:textId="77777777" w:rsidR="00FA6EC2" w:rsidRDefault="00FA6EC2" w:rsidP="004C1C30">
                  <w:pPr>
                    <w:jc w:val="both"/>
                  </w:pPr>
                </w:p>
              </w:tc>
              <w:tc>
                <w:tcPr>
                  <w:tcW w:w="2197" w:type="dxa"/>
                </w:tcPr>
                <w:p w14:paraId="54DF9311" w14:textId="77777777" w:rsidR="00FA6EC2" w:rsidRPr="00941806" w:rsidRDefault="00FA6EC2" w:rsidP="004C1C30">
                  <w:pPr>
                    <w:jc w:val="both"/>
                    <w:rPr>
                      <w:i/>
                    </w:rPr>
                  </w:pPr>
                  <w:r>
                    <w:t>Negligible (1) Impact</w:t>
                  </w:r>
                </w:p>
              </w:tc>
              <w:tc>
                <w:tcPr>
                  <w:tcW w:w="2198" w:type="dxa"/>
                </w:tcPr>
                <w:p w14:paraId="2019D08A" w14:textId="77777777" w:rsidR="00FA6EC2" w:rsidRDefault="00FA6EC2" w:rsidP="004C1C30">
                  <w:pPr>
                    <w:jc w:val="both"/>
                  </w:pPr>
                  <w:r>
                    <w:t xml:space="preserve"> Moderate (2) Impact</w:t>
                  </w:r>
                </w:p>
              </w:tc>
              <w:tc>
                <w:tcPr>
                  <w:tcW w:w="1795" w:type="dxa"/>
                </w:tcPr>
                <w:p w14:paraId="1961FE0D" w14:textId="77777777" w:rsidR="00FA6EC2" w:rsidRDefault="00FA6EC2" w:rsidP="004C1C30">
                  <w:pPr>
                    <w:jc w:val="both"/>
                  </w:pPr>
                  <w:r>
                    <w:t>Severe(3) Impact</w:t>
                  </w:r>
                </w:p>
              </w:tc>
            </w:tr>
          </w:tbl>
          <w:p w14:paraId="64281635" w14:textId="77777777" w:rsidR="00FA6EC2" w:rsidRDefault="00FA6EC2" w:rsidP="004C1C30">
            <w:pPr>
              <w:jc w:val="both"/>
            </w:pPr>
          </w:p>
          <w:p w14:paraId="70E8D54E" w14:textId="77777777" w:rsidR="00FA6EC2" w:rsidRPr="000C3498" w:rsidRDefault="00FA6EC2" w:rsidP="004C1C30">
            <w:pPr>
              <w:jc w:val="both"/>
            </w:pPr>
          </w:p>
        </w:tc>
      </w:tr>
      <w:tr w:rsidR="00FA6EC2" w14:paraId="3B44AA2D" w14:textId="77777777" w:rsidTr="004C1C30">
        <w:trPr>
          <w:trHeight w:val="405"/>
        </w:trPr>
        <w:tc>
          <w:tcPr>
            <w:tcW w:w="3005" w:type="dxa"/>
          </w:tcPr>
          <w:p w14:paraId="10CE94F9" w14:textId="77777777" w:rsidR="00FA6EC2" w:rsidRPr="005F2EAC" w:rsidRDefault="00FA6EC2" w:rsidP="004C1C30">
            <w:pPr>
              <w:jc w:val="center"/>
              <w:rPr>
                <w:b/>
              </w:rPr>
            </w:pPr>
            <w:r>
              <w:rPr>
                <w:b/>
              </w:rPr>
              <w:t>Service Area</w:t>
            </w:r>
          </w:p>
        </w:tc>
        <w:tc>
          <w:tcPr>
            <w:tcW w:w="3005" w:type="dxa"/>
          </w:tcPr>
          <w:p w14:paraId="6035D9FD" w14:textId="77777777" w:rsidR="00FA6EC2" w:rsidRPr="005F2EAC" w:rsidRDefault="00FA6EC2" w:rsidP="004C1C30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006" w:type="dxa"/>
          </w:tcPr>
          <w:p w14:paraId="0CF8AE55" w14:textId="77777777" w:rsidR="00FA6EC2" w:rsidRPr="009B27A0" w:rsidRDefault="00FA6EC2" w:rsidP="004C1C30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FA6EC2" w:rsidRPr="00FA6EC2" w14:paraId="59CB5717" w14:textId="77777777" w:rsidTr="004C1C30">
        <w:trPr>
          <w:trHeight w:val="405"/>
        </w:trPr>
        <w:tc>
          <w:tcPr>
            <w:tcW w:w="3005" w:type="dxa"/>
          </w:tcPr>
          <w:p w14:paraId="1E89E3C7" w14:textId="0D015FE4" w:rsidR="00FA6EC2" w:rsidRPr="00FA6EC2" w:rsidRDefault="00EE5C3B" w:rsidP="002E3588">
            <w:pPr>
              <w:jc w:val="both"/>
              <w:rPr>
                <w:bCs/>
              </w:rPr>
            </w:pPr>
            <w:r>
              <w:rPr>
                <w:bCs/>
              </w:rPr>
              <w:t>Aldborough and Thurgarton village</w:t>
            </w:r>
          </w:p>
        </w:tc>
        <w:tc>
          <w:tcPr>
            <w:tcW w:w="3005" w:type="dxa"/>
          </w:tcPr>
          <w:p w14:paraId="6DF53308" w14:textId="2FC63127" w:rsidR="006D6A53" w:rsidRPr="00EE5C3B" w:rsidRDefault="006D6A53" w:rsidP="00FA6EC2">
            <w:pPr>
              <w:tabs>
                <w:tab w:val="left" w:pos="930"/>
              </w:tabs>
              <w:rPr>
                <w:bCs/>
                <w:iCs/>
              </w:rPr>
            </w:pPr>
            <w:r>
              <w:rPr>
                <w:bCs/>
                <w:iCs/>
              </w:rPr>
              <w:t>Loss, injury or damage being sustained by member of public</w:t>
            </w:r>
          </w:p>
          <w:p w14:paraId="34305273" w14:textId="77777777" w:rsidR="00EE5C3B" w:rsidRDefault="00EE5C3B" w:rsidP="00FA6EC2">
            <w:pPr>
              <w:tabs>
                <w:tab w:val="left" w:pos="930"/>
              </w:tabs>
              <w:rPr>
                <w:bCs/>
                <w:i/>
                <w:iCs/>
              </w:rPr>
            </w:pPr>
          </w:p>
          <w:p w14:paraId="3CD7DB45" w14:textId="77777777" w:rsidR="00EE5C3B" w:rsidRDefault="00EE5C3B" w:rsidP="00FA6EC2">
            <w:pPr>
              <w:tabs>
                <w:tab w:val="left" w:pos="930"/>
              </w:tabs>
              <w:rPr>
                <w:bCs/>
                <w:i/>
                <w:iCs/>
              </w:rPr>
            </w:pPr>
          </w:p>
          <w:p w14:paraId="4003C992" w14:textId="77777777" w:rsidR="00EE5C3B" w:rsidRDefault="00EE5C3B" w:rsidP="00FA6EC2">
            <w:pPr>
              <w:tabs>
                <w:tab w:val="left" w:pos="930"/>
              </w:tabs>
              <w:rPr>
                <w:bCs/>
                <w:i/>
                <w:iCs/>
              </w:rPr>
            </w:pPr>
          </w:p>
          <w:p w14:paraId="27624FBC" w14:textId="77777777" w:rsidR="006D6A53" w:rsidRDefault="006D6A53" w:rsidP="00FA6EC2">
            <w:pPr>
              <w:tabs>
                <w:tab w:val="left" w:pos="930"/>
              </w:tabs>
              <w:rPr>
                <w:bCs/>
                <w:i/>
                <w:iCs/>
              </w:rPr>
            </w:pPr>
          </w:p>
          <w:p w14:paraId="0199A595" w14:textId="77777777" w:rsidR="006D6A53" w:rsidRDefault="006D6A53" w:rsidP="00FA6EC2">
            <w:pPr>
              <w:tabs>
                <w:tab w:val="left" w:pos="930"/>
              </w:tabs>
              <w:rPr>
                <w:bCs/>
                <w:i/>
                <w:iCs/>
              </w:rPr>
            </w:pPr>
          </w:p>
          <w:p w14:paraId="7B886ADB" w14:textId="77777777" w:rsidR="006D6A53" w:rsidRDefault="006D6A53" w:rsidP="00FA6EC2">
            <w:pPr>
              <w:tabs>
                <w:tab w:val="left" w:pos="930"/>
              </w:tabs>
              <w:rPr>
                <w:bCs/>
                <w:i/>
                <w:iCs/>
              </w:rPr>
            </w:pPr>
          </w:p>
          <w:p w14:paraId="641E0C9F" w14:textId="17B2BA4F" w:rsidR="00FA6EC2" w:rsidRDefault="00EE5C3B" w:rsidP="00FA6EC2">
            <w:pPr>
              <w:tabs>
                <w:tab w:val="left" w:pos="930"/>
              </w:tabs>
              <w:rPr>
                <w:bCs/>
              </w:rPr>
            </w:pPr>
            <w:r>
              <w:rPr>
                <w:bCs/>
                <w:i/>
                <w:iCs/>
              </w:rPr>
              <w:t>Low</w:t>
            </w:r>
            <w:r w:rsidR="00FA6EC2">
              <w:rPr>
                <w:bCs/>
                <w:i/>
                <w:iCs/>
              </w:rPr>
              <w:t xml:space="preserve"> risk</w:t>
            </w:r>
          </w:p>
          <w:p w14:paraId="2AF3FF3E" w14:textId="3A0C9E3A" w:rsidR="00FA6EC2" w:rsidRPr="00FA6EC2" w:rsidRDefault="00FA6EC2" w:rsidP="00FA6EC2">
            <w:pPr>
              <w:tabs>
                <w:tab w:val="left" w:pos="930"/>
              </w:tabs>
              <w:rPr>
                <w:bCs/>
              </w:rPr>
            </w:pPr>
          </w:p>
        </w:tc>
        <w:tc>
          <w:tcPr>
            <w:tcW w:w="3006" w:type="dxa"/>
          </w:tcPr>
          <w:p w14:paraId="34D95F1D" w14:textId="1E030669" w:rsidR="00A218E8" w:rsidRDefault="00742368" w:rsidP="006D6A53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6D6A53">
              <w:rPr>
                <w:bCs/>
              </w:rPr>
              <w:t>Mainly carpentry work</w:t>
            </w:r>
            <w:r>
              <w:rPr>
                <w:bCs/>
              </w:rPr>
              <w:t>, carried</w:t>
            </w:r>
            <w:r w:rsidR="006D6A53">
              <w:rPr>
                <w:bCs/>
              </w:rPr>
              <w:t xml:space="preserve"> at home.   Items to be moved to and from home with help from volunteer/s</w:t>
            </w:r>
          </w:p>
          <w:p w14:paraId="117AF0F6" w14:textId="03BC4A23" w:rsidR="006D6A53" w:rsidRDefault="00742368" w:rsidP="006D6A53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6D6A53">
              <w:rPr>
                <w:bCs/>
              </w:rPr>
              <w:t>Contractor very experienced carpenter with lifetime experience</w:t>
            </w:r>
            <w:r>
              <w:rPr>
                <w:bCs/>
              </w:rPr>
              <w:t xml:space="preserve"> and suitable tools</w:t>
            </w:r>
          </w:p>
          <w:p w14:paraId="152E237D" w14:textId="7707DD28" w:rsidR="006D6A53" w:rsidRDefault="00742368" w:rsidP="006D6A53">
            <w:pPr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6D6A53">
              <w:rPr>
                <w:bCs/>
              </w:rPr>
              <w:t>Public liability insurance cover agreed by Parish Council under their Policy</w:t>
            </w:r>
          </w:p>
          <w:p w14:paraId="6D93CA78" w14:textId="55E5F474" w:rsidR="006D6A53" w:rsidRPr="00FA6EC2" w:rsidRDefault="006D6A53" w:rsidP="006D6A53">
            <w:pPr>
              <w:jc w:val="both"/>
              <w:rPr>
                <w:bCs/>
              </w:rPr>
            </w:pPr>
          </w:p>
        </w:tc>
      </w:tr>
      <w:tr w:rsidR="00FA6EC2" w:rsidRPr="00FA6EC2" w14:paraId="4B231E78" w14:textId="77777777" w:rsidTr="004C1C30">
        <w:trPr>
          <w:trHeight w:val="405"/>
        </w:trPr>
        <w:tc>
          <w:tcPr>
            <w:tcW w:w="3005" w:type="dxa"/>
          </w:tcPr>
          <w:p w14:paraId="7203D2D1" w14:textId="0C6B8DDE" w:rsidR="00FA6EC2" w:rsidRP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Contractors working</w:t>
            </w:r>
          </w:p>
        </w:tc>
        <w:tc>
          <w:tcPr>
            <w:tcW w:w="3005" w:type="dxa"/>
          </w:tcPr>
          <w:p w14:paraId="5BE53D44" w14:textId="11CC14F3" w:rsidR="00FA6EC2" w:rsidRDefault="00A218E8" w:rsidP="00FA6EC2">
            <w:pPr>
              <w:jc w:val="both"/>
              <w:rPr>
                <w:bCs/>
              </w:rPr>
            </w:pPr>
            <w:r>
              <w:rPr>
                <w:bCs/>
              </w:rPr>
              <w:t>Transmission of</w:t>
            </w:r>
            <w:r w:rsidR="006D6A53">
              <w:rPr>
                <w:bCs/>
              </w:rPr>
              <w:t xml:space="preserve"> Covid 19 virus wh</w:t>
            </w:r>
            <w:r>
              <w:rPr>
                <w:bCs/>
              </w:rPr>
              <w:t>ilst working</w:t>
            </w:r>
          </w:p>
          <w:p w14:paraId="53C9ABB2" w14:textId="77777777" w:rsidR="006D6A53" w:rsidRDefault="006D6A53" w:rsidP="00FA6EC2">
            <w:pPr>
              <w:jc w:val="both"/>
              <w:rPr>
                <w:bCs/>
              </w:rPr>
            </w:pPr>
          </w:p>
          <w:p w14:paraId="70C35706" w14:textId="77777777" w:rsidR="006D6A53" w:rsidRDefault="006D6A53" w:rsidP="00FA6EC2">
            <w:pPr>
              <w:jc w:val="both"/>
              <w:rPr>
                <w:bCs/>
              </w:rPr>
            </w:pPr>
          </w:p>
          <w:p w14:paraId="5D4C5BD5" w14:textId="273D1D0C" w:rsidR="006D6A53" w:rsidRDefault="006D6A53" w:rsidP="00FA6EC2">
            <w:pPr>
              <w:jc w:val="both"/>
              <w:rPr>
                <w:bCs/>
              </w:rPr>
            </w:pPr>
            <w:r>
              <w:rPr>
                <w:bCs/>
              </w:rPr>
              <w:t>Personal accident</w:t>
            </w:r>
          </w:p>
          <w:p w14:paraId="483E336F" w14:textId="77777777" w:rsidR="00A218E8" w:rsidRDefault="00A218E8" w:rsidP="00FA6EC2">
            <w:pPr>
              <w:jc w:val="both"/>
              <w:rPr>
                <w:bCs/>
              </w:rPr>
            </w:pPr>
          </w:p>
          <w:p w14:paraId="17BBA26D" w14:textId="3E02BF28" w:rsidR="00A218E8" w:rsidRPr="00A218E8" w:rsidRDefault="00A218E8" w:rsidP="00FA6EC2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Medium risk</w:t>
            </w:r>
          </w:p>
        </w:tc>
        <w:tc>
          <w:tcPr>
            <w:tcW w:w="3006" w:type="dxa"/>
          </w:tcPr>
          <w:p w14:paraId="5F3B4202" w14:textId="6FFDB8BD" w:rsidR="00A218E8" w:rsidRDefault="006D6A53" w:rsidP="00FA6EC2">
            <w:pPr>
              <w:jc w:val="both"/>
              <w:rPr>
                <w:bCs/>
              </w:rPr>
            </w:pPr>
            <w:r>
              <w:rPr>
                <w:bCs/>
              </w:rPr>
              <w:t>Maintain Government guidelines whilst working</w:t>
            </w:r>
            <w:r w:rsidR="00742368">
              <w:rPr>
                <w:bCs/>
              </w:rPr>
              <w:t>,</w:t>
            </w:r>
            <w:r>
              <w:rPr>
                <w:bCs/>
              </w:rPr>
              <w:t xml:space="preserve"> in particular social distancing</w:t>
            </w:r>
          </w:p>
          <w:p w14:paraId="7ACC9CBC" w14:textId="77777777" w:rsidR="006D6A53" w:rsidRDefault="006D6A53" w:rsidP="00FA6EC2">
            <w:pPr>
              <w:jc w:val="both"/>
              <w:rPr>
                <w:bCs/>
              </w:rPr>
            </w:pPr>
          </w:p>
          <w:p w14:paraId="10EE7745" w14:textId="1140BC74" w:rsidR="006D6A53" w:rsidRDefault="006D6A53" w:rsidP="00FA6EC2">
            <w:pPr>
              <w:jc w:val="both"/>
              <w:rPr>
                <w:bCs/>
              </w:rPr>
            </w:pPr>
            <w:r>
              <w:rPr>
                <w:bCs/>
              </w:rPr>
              <w:t>As item above</w:t>
            </w:r>
          </w:p>
          <w:p w14:paraId="16A5C6AB" w14:textId="77777777" w:rsidR="006D6A53" w:rsidRDefault="006D6A53" w:rsidP="00FA6EC2">
            <w:pPr>
              <w:jc w:val="both"/>
              <w:rPr>
                <w:bCs/>
              </w:rPr>
            </w:pPr>
          </w:p>
          <w:p w14:paraId="270A5E20" w14:textId="77777777" w:rsidR="006D6A53" w:rsidRDefault="006D6A53" w:rsidP="00FA6EC2">
            <w:pPr>
              <w:jc w:val="both"/>
              <w:rPr>
                <w:bCs/>
              </w:rPr>
            </w:pPr>
          </w:p>
          <w:p w14:paraId="1452E4E0" w14:textId="6402EC97" w:rsidR="006D6A53" w:rsidRPr="00FA6EC2" w:rsidRDefault="006D6A53" w:rsidP="00FA6EC2">
            <w:pPr>
              <w:jc w:val="both"/>
              <w:rPr>
                <w:bCs/>
              </w:rPr>
            </w:pPr>
          </w:p>
        </w:tc>
      </w:tr>
      <w:tr w:rsidR="00FA6EC2" w:rsidRPr="00FA6EC2" w14:paraId="2D1434E9" w14:textId="77777777" w:rsidTr="004C1C30">
        <w:trPr>
          <w:trHeight w:val="405"/>
        </w:trPr>
        <w:tc>
          <w:tcPr>
            <w:tcW w:w="3005" w:type="dxa"/>
          </w:tcPr>
          <w:p w14:paraId="005A675A" w14:textId="49E28848" w:rsidR="00FA6EC2" w:rsidRPr="00FA6EC2" w:rsidRDefault="00FA6EC2" w:rsidP="00FA6EC2">
            <w:pPr>
              <w:jc w:val="both"/>
              <w:rPr>
                <w:bCs/>
              </w:rPr>
            </w:pPr>
          </w:p>
        </w:tc>
        <w:tc>
          <w:tcPr>
            <w:tcW w:w="3005" w:type="dxa"/>
          </w:tcPr>
          <w:p w14:paraId="273BA8CF" w14:textId="3A28CA38" w:rsidR="00A218E8" w:rsidRPr="00A218E8" w:rsidRDefault="00A218E8" w:rsidP="00A218E8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3006" w:type="dxa"/>
          </w:tcPr>
          <w:p w14:paraId="36C7E11F" w14:textId="01194CD9" w:rsidR="00D407AB" w:rsidRPr="00FA6EC2" w:rsidRDefault="00D407AB" w:rsidP="00FA6EC2">
            <w:pPr>
              <w:jc w:val="both"/>
              <w:rPr>
                <w:bCs/>
              </w:rPr>
            </w:pPr>
          </w:p>
        </w:tc>
      </w:tr>
      <w:tr w:rsidR="00FA6EC2" w:rsidRPr="00FA6EC2" w14:paraId="62E5204A" w14:textId="77777777" w:rsidTr="004C1C30">
        <w:trPr>
          <w:trHeight w:val="405"/>
        </w:trPr>
        <w:tc>
          <w:tcPr>
            <w:tcW w:w="3005" w:type="dxa"/>
          </w:tcPr>
          <w:p w14:paraId="18F382EF" w14:textId="481B46B7" w:rsidR="00FA6EC2" w:rsidRDefault="00D407AB" w:rsidP="00FA6EC2">
            <w:pPr>
              <w:jc w:val="both"/>
              <w:rPr>
                <w:bCs/>
              </w:rPr>
            </w:pPr>
            <w:r>
              <w:rPr>
                <w:bCs/>
              </w:rPr>
              <w:t xml:space="preserve">Approved </w:t>
            </w:r>
            <w:r w:rsidR="00AC6B38">
              <w:rPr>
                <w:bCs/>
              </w:rPr>
              <w:t xml:space="preserve">  </w:t>
            </w:r>
            <w:r w:rsidR="006D6A53" w:rsidRPr="006D6A53">
              <w:rPr>
                <w:bCs/>
                <w:vertAlign w:val="superscript"/>
              </w:rPr>
              <w:t>th</w:t>
            </w:r>
            <w:r w:rsidR="006D6A53">
              <w:rPr>
                <w:bCs/>
              </w:rPr>
              <w:t xml:space="preserve"> January 2020</w:t>
            </w:r>
          </w:p>
          <w:p w14:paraId="15F9F260" w14:textId="55CF9E2A" w:rsidR="00D407AB" w:rsidRPr="00FA6EC2" w:rsidRDefault="00D407AB" w:rsidP="00FA6EC2">
            <w:pPr>
              <w:jc w:val="both"/>
              <w:rPr>
                <w:bCs/>
              </w:rPr>
            </w:pPr>
          </w:p>
        </w:tc>
        <w:tc>
          <w:tcPr>
            <w:tcW w:w="3005" w:type="dxa"/>
          </w:tcPr>
          <w:p w14:paraId="30D403F3" w14:textId="77777777" w:rsidR="00FA6EC2" w:rsidRPr="00FA6EC2" w:rsidRDefault="00FA6EC2" w:rsidP="00FA6EC2">
            <w:pPr>
              <w:jc w:val="both"/>
              <w:rPr>
                <w:bCs/>
              </w:rPr>
            </w:pPr>
          </w:p>
        </w:tc>
        <w:tc>
          <w:tcPr>
            <w:tcW w:w="3006" w:type="dxa"/>
          </w:tcPr>
          <w:p w14:paraId="50A84829" w14:textId="77777777" w:rsidR="00FA6EC2" w:rsidRPr="00FA6EC2" w:rsidRDefault="00FA6EC2" w:rsidP="00FA6EC2">
            <w:pPr>
              <w:jc w:val="both"/>
              <w:rPr>
                <w:bCs/>
              </w:rPr>
            </w:pPr>
          </w:p>
        </w:tc>
      </w:tr>
    </w:tbl>
    <w:p w14:paraId="6EA7BFD9" w14:textId="77777777" w:rsidR="00FA6EC2" w:rsidRPr="00FA6EC2" w:rsidRDefault="00FA6EC2" w:rsidP="00FA6EC2">
      <w:pPr>
        <w:jc w:val="both"/>
        <w:rPr>
          <w:rFonts w:ascii="Arial Rounded MT Bold" w:hAnsi="Arial Rounded MT Bold"/>
          <w:bCs/>
          <w:color w:val="002060"/>
          <w:sz w:val="28"/>
          <w:szCs w:val="28"/>
          <w:lang w:val="en-GB"/>
        </w:rPr>
      </w:pPr>
    </w:p>
    <w:sectPr w:rsidR="00FA6EC2" w:rsidRPr="00FA6EC2" w:rsidSect="00D407A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C5"/>
    <w:rsid w:val="001463D4"/>
    <w:rsid w:val="002E3588"/>
    <w:rsid w:val="00506BC5"/>
    <w:rsid w:val="00526095"/>
    <w:rsid w:val="006A6C80"/>
    <w:rsid w:val="006D6A53"/>
    <w:rsid w:val="00742368"/>
    <w:rsid w:val="008669E7"/>
    <w:rsid w:val="00900182"/>
    <w:rsid w:val="00A218E8"/>
    <w:rsid w:val="00A524A1"/>
    <w:rsid w:val="00AC6B38"/>
    <w:rsid w:val="00D33462"/>
    <w:rsid w:val="00D407AB"/>
    <w:rsid w:val="00E423F6"/>
    <w:rsid w:val="00EA36A5"/>
    <w:rsid w:val="00EE5C3B"/>
    <w:rsid w:val="00FA6EC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DB46"/>
  <w15:chartTrackingRefBased/>
  <w15:docId w15:val="{31B7D229-9360-4FED-B338-62167787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BC5"/>
    <w:rPr>
      <w:color w:val="0000FF"/>
      <w:u w:val="single"/>
    </w:rPr>
  </w:style>
  <w:style w:type="table" w:styleId="TableGrid">
    <w:name w:val="Table Grid"/>
    <w:basedOn w:val="TableNormal"/>
    <w:uiPriority w:val="39"/>
    <w:rsid w:val="00FA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Aldborough 2</dc:creator>
  <cp:keywords/>
  <dc:description/>
  <cp:lastModifiedBy>Parish Clerk</cp:lastModifiedBy>
  <cp:revision>3</cp:revision>
  <cp:lastPrinted>2021-01-06T12:43:00Z</cp:lastPrinted>
  <dcterms:created xsi:type="dcterms:W3CDTF">2020-12-18T18:22:00Z</dcterms:created>
  <dcterms:modified xsi:type="dcterms:W3CDTF">2021-01-06T12:43:00Z</dcterms:modified>
</cp:coreProperties>
</file>